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E64425">
      <w:pPr>
        <w:pStyle w:val="2"/>
        <w:bidi w:val="0"/>
        <w:jc w:val="center"/>
        <w:rPr>
          <w:rFonts w:hint="eastAsia"/>
          <w:sz w:val="72"/>
          <w:szCs w:val="72"/>
          <w:lang w:val="en-US" w:eastAsia="zh-CN"/>
        </w:rPr>
      </w:pPr>
      <w:r>
        <w:drawing>
          <wp:inline distT="0" distB="0" distL="114300" distR="114300">
            <wp:extent cx="5273040" cy="910590"/>
            <wp:effectExtent l="0" t="0" r="3810" b="3810"/>
            <wp:docPr id="1" name="图片 1" descr="图书馆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书馆log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056B8">
      <w:pPr>
        <w:pStyle w:val="2"/>
        <w:bidi w:val="0"/>
        <w:jc w:val="center"/>
        <w:rPr>
          <w:rFonts w:hint="eastAsia"/>
          <w:sz w:val="72"/>
          <w:szCs w:val="72"/>
          <w:lang w:val="en-US" w:eastAsia="zh-CN"/>
        </w:rPr>
      </w:pPr>
    </w:p>
    <w:p w14:paraId="4A7E5A15">
      <w:pPr>
        <w:rPr>
          <w:rFonts w:hint="eastAsia"/>
          <w:lang w:val="en-US" w:eastAsia="zh-CN"/>
        </w:rPr>
      </w:pPr>
    </w:p>
    <w:p w14:paraId="11D30DF9">
      <w:pPr>
        <w:pStyle w:val="2"/>
        <w:bidi w:val="0"/>
        <w:spacing w:line="720" w:lineRule="auto"/>
        <w:jc w:val="center"/>
        <w:rPr>
          <w:rFonts w:hint="eastAsia" w:ascii="隶书" w:hAnsi="隶书" w:eastAsia="隶书" w:cs="隶书"/>
          <w:b/>
          <w:bCs w:val="0"/>
          <w:sz w:val="72"/>
          <w:szCs w:val="72"/>
          <w:lang w:val="en-US" w:eastAsia="zh-CN"/>
        </w:rPr>
      </w:pPr>
      <w:bookmarkStart w:id="2" w:name="_GoBack"/>
      <w:r>
        <w:rPr>
          <w:rFonts w:hint="eastAsia" w:ascii="隶书" w:hAnsi="隶书" w:eastAsia="隶书" w:cs="隶书"/>
          <w:b/>
          <w:bCs w:val="0"/>
          <w:sz w:val="72"/>
          <w:szCs w:val="72"/>
          <w:lang w:val="en-US" w:eastAsia="zh-CN"/>
        </w:rPr>
        <w:t>书香文理数字图书馆</w:t>
      </w:r>
    </w:p>
    <w:p w14:paraId="02B4BEFD">
      <w:pPr>
        <w:pStyle w:val="2"/>
        <w:bidi w:val="0"/>
        <w:spacing w:line="720" w:lineRule="auto"/>
        <w:jc w:val="center"/>
        <w:rPr>
          <w:rFonts w:hint="eastAsia" w:ascii="隶书" w:hAnsi="隶书" w:eastAsia="隶书" w:cs="隶书"/>
          <w:sz w:val="72"/>
          <w:szCs w:val="72"/>
          <w:lang w:val="en-US" w:eastAsia="zh-CN"/>
        </w:rPr>
      </w:pPr>
    </w:p>
    <w:p w14:paraId="201ADB4C">
      <w:pPr>
        <w:pStyle w:val="2"/>
        <w:bidi w:val="0"/>
        <w:spacing w:line="720" w:lineRule="auto"/>
        <w:jc w:val="center"/>
        <w:rPr>
          <w:rFonts w:hint="eastAsia" w:ascii="隶书" w:hAnsi="隶书" w:eastAsia="隶书" w:cs="隶书"/>
          <w:sz w:val="72"/>
          <w:szCs w:val="72"/>
          <w:lang w:val="en-US" w:eastAsia="zh-CN"/>
        </w:rPr>
      </w:pPr>
      <w:r>
        <w:rPr>
          <w:rFonts w:hint="eastAsia" w:ascii="隶书" w:hAnsi="隶书" w:eastAsia="隶书" w:cs="隶书"/>
          <w:sz w:val="72"/>
          <w:szCs w:val="72"/>
          <w:lang w:val="en-US" w:eastAsia="zh-CN"/>
        </w:rPr>
        <w:t xml:space="preserve"> 操作手册</w:t>
      </w:r>
    </w:p>
    <w:bookmarkEnd w:id="2"/>
    <w:p w14:paraId="3B45A8D6">
      <w:pPr>
        <w:rPr>
          <w:rFonts w:hint="eastAsia" w:ascii="隶书" w:hAnsi="隶书" w:eastAsia="隶书" w:cs="隶书"/>
          <w:lang w:val="en-US" w:eastAsia="zh-CN"/>
        </w:rPr>
      </w:pPr>
    </w:p>
    <w:p w14:paraId="3E10AE96">
      <w:pPr>
        <w:rPr>
          <w:rFonts w:hint="eastAsia" w:ascii="隶书" w:hAnsi="隶书" w:eastAsia="隶书" w:cs="隶书"/>
          <w:lang w:val="en-US" w:eastAsia="zh-CN"/>
        </w:rPr>
      </w:pPr>
    </w:p>
    <w:p w14:paraId="500E8789">
      <w:pPr>
        <w:rPr>
          <w:rFonts w:hint="eastAsia" w:ascii="隶书" w:hAnsi="隶书" w:eastAsia="隶书" w:cs="隶书"/>
          <w:lang w:val="en-US" w:eastAsia="zh-CN"/>
        </w:rPr>
      </w:pPr>
    </w:p>
    <w:p w14:paraId="5E04DC76">
      <w:pPr>
        <w:rPr>
          <w:rFonts w:hint="eastAsia" w:ascii="隶书" w:hAnsi="隶书" w:eastAsia="隶书" w:cs="隶书"/>
          <w:lang w:val="en-US" w:eastAsia="zh-CN"/>
        </w:rPr>
      </w:pPr>
    </w:p>
    <w:p w14:paraId="014EAFE3">
      <w:pPr>
        <w:rPr>
          <w:rFonts w:hint="eastAsia" w:ascii="隶书" w:hAnsi="隶书" w:eastAsia="隶书" w:cs="隶书"/>
          <w:lang w:val="en-US" w:eastAsia="zh-CN"/>
        </w:rPr>
      </w:pPr>
    </w:p>
    <w:p w14:paraId="684F1C4C">
      <w:pPr>
        <w:jc w:val="center"/>
        <w:rPr>
          <w:rFonts w:hint="eastAsia" w:ascii="隶书" w:hAnsi="隶书" w:eastAsia="隶书" w:cs="隶书"/>
          <w:sz w:val="36"/>
          <w:szCs w:val="36"/>
          <w:lang w:val="en-US" w:eastAsia="zh-CN"/>
        </w:rPr>
      </w:pPr>
    </w:p>
    <w:p w14:paraId="7EA018D4">
      <w:pPr>
        <w:jc w:val="center"/>
        <w:rPr>
          <w:rFonts w:hint="eastAsia" w:ascii="隶书" w:hAnsi="隶书" w:eastAsia="隶书" w:cs="隶书"/>
          <w:sz w:val="36"/>
          <w:szCs w:val="36"/>
          <w:lang w:val="en-US" w:eastAsia="zh-CN"/>
        </w:rPr>
      </w:pPr>
    </w:p>
    <w:p w14:paraId="443D4808">
      <w:pPr>
        <w:jc w:val="center"/>
        <w:rPr>
          <w:rFonts w:hint="eastAsia" w:ascii="隶书" w:hAnsi="隶书" w:eastAsia="隶书" w:cs="隶书"/>
          <w:sz w:val="36"/>
          <w:szCs w:val="36"/>
          <w:lang w:val="en-US" w:eastAsia="zh-CN"/>
        </w:rPr>
      </w:pPr>
    </w:p>
    <w:p w14:paraId="024271DA">
      <w:pPr>
        <w:jc w:val="center"/>
        <w:rPr>
          <w:rFonts w:hint="eastAsia" w:ascii="隶书" w:hAnsi="隶书" w:eastAsia="隶书" w:cs="隶书"/>
          <w:sz w:val="36"/>
          <w:szCs w:val="36"/>
          <w:lang w:val="en-US" w:eastAsia="zh-CN"/>
        </w:rPr>
      </w:pPr>
    </w:p>
    <w:p w14:paraId="41B5BB76">
      <w:pPr>
        <w:jc w:val="center"/>
        <w:rPr>
          <w:rFonts w:hint="eastAsia" w:ascii="隶书" w:hAnsi="隶书" w:eastAsia="隶书" w:cs="隶书"/>
          <w:sz w:val="36"/>
          <w:szCs w:val="36"/>
          <w:lang w:val="en-US" w:eastAsia="zh-CN"/>
        </w:rPr>
      </w:pPr>
      <w:r>
        <w:rPr>
          <w:rFonts w:hint="eastAsia" w:ascii="隶书" w:hAnsi="隶书" w:eastAsia="隶书" w:cs="隶书"/>
          <w:sz w:val="36"/>
          <w:szCs w:val="36"/>
          <w:lang w:val="en-US" w:eastAsia="zh-CN"/>
        </w:rPr>
        <w:t>2025年9月</w:t>
      </w:r>
    </w:p>
    <w:p w14:paraId="3558D815">
      <w:pPr>
        <w:rPr>
          <w:rFonts w:hint="eastAsia" w:ascii="隶书" w:hAnsi="隶书" w:eastAsia="隶书" w:cs="隶书"/>
          <w:lang w:val="en-US" w:eastAsia="zh-CN"/>
        </w:rPr>
      </w:pPr>
    </w:p>
    <w:p w14:paraId="4DEB861C">
      <w:pPr>
        <w:rPr>
          <w:rFonts w:hint="default"/>
          <w:lang w:val="en-US" w:eastAsia="zh-CN"/>
        </w:rPr>
      </w:pPr>
    </w:p>
    <w:p w14:paraId="315DDEA0">
      <w:pPr>
        <w:rPr>
          <w:rFonts w:hint="default"/>
          <w:lang w:val="en-US" w:eastAsia="zh-CN"/>
        </w:rPr>
      </w:pPr>
    </w:p>
    <w:p w14:paraId="5CB52CA5">
      <w:pPr>
        <w:rPr>
          <w:rFonts w:hint="default"/>
          <w:lang w:val="en-US" w:eastAsia="zh-CN"/>
        </w:rPr>
      </w:pPr>
    </w:p>
    <w:p w14:paraId="45EBF584">
      <w:pPr>
        <w:rPr>
          <w:rFonts w:hint="default"/>
          <w:lang w:val="en-US" w:eastAsia="zh-CN"/>
        </w:rPr>
      </w:pPr>
    </w:p>
    <w:p w14:paraId="2CC9CD9C">
      <w:pPr>
        <w:rPr>
          <w:rFonts w:hint="default"/>
          <w:lang w:val="en-US" w:eastAsia="zh-CN"/>
        </w:rPr>
      </w:pPr>
    </w:p>
    <w:p w14:paraId="0C268744">
      <w:pPr>
        <w:pStyle w:val="5"/>
        <w:keepNext w:val="0"/>
        <w:keepLines w:val="0"/>
        <w:widowControl/>
        <w:suppressLineNumbers w:val="0"/>
        <w:rPr>
          <w:rFonts w:hint="eastAsia" w:ascii="仿宋" w:hAnsi="仿宋" w:eastAsia="仿宋" w:cs="仿宋"/>
          <w:sz w:val="32"/>
          <w:szCs w:val="32"/>
        </w:rPr>
      </w:pPr>
      <w:bookmarkStart w:id="0" w:name="_Toc7245"/>
      <w:r>
        <w:rPr>
          <w:rFonts w:hint="eastAsia" w:ascii="仿宋" w:hAnsi="仿宋" w:eastAsia="仿宋" w:cs="仿宋"/>
          <w:b/>
          <w:bCs/>
          <w:sz w:val="32"/>
          <w:szCs w:val="32"/>
        </w:rPr>
        <w:t>“书香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文理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是A股上市公司中文在线特别为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昆明文理学院</w:t>
      </w:r>
      <w:r>
        <w:rPr>
          <w:rFonts w:hint="eastAsia" w:ascii="仿宋" w:hAnsi="仿宋" w:eastAsia="仿宋" w:cs="仿宋"/>
          <w:sz w:val="32"/>
          <w:szCs w:val="32"/>
        </w:rPr>
        <w:t>推出的“集阅读、学习、互动于一体的互联网阅读创新数字图书馆”服务，平台提供：</w:t>
      </w:r>
    </w:p>
    <w:p w14:paraId="03A0A6C7">
      <w:pPr>
        <w:pStyle w:val="5"/>
        <w:keepNext w:val="0"/>
        <w:keepLines w:val="0"/>
        <w:widowControl/>
        <w:suppressLineNumbers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1、海量正版数字资源：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 w:cs="仿宋"/>
          <w:sz w:val="32"/>
          <w:szCs w:val="32"/>
        </w:rPr>
        <w:t>万余种正版电子书、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sz w:val="32"/>
          <w:szCs w:val="32"/>
        </w:rPr>
        <w:t>万余集有声书、近千种期刊内容，每年实时更新，涵盖哲学、经济学、法学、教育学、工学、文学、历史学等十三大学科门类以及各大专业，图书占比相对均衡，能满足不同类型高校、不同专业师生的相应需求。</w:t>
      </w:r>
    </w:p>
    <w:p w14:paraId="515490E2">
      <w:pPr>
        <w:pStyle w:val="5"/>
        <w:keepNext w:val="0"/>
        <w:keepLines w:val="0"/>
        <w:widowControl/>
        <w:suppressLineNumbers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2、大奖书系：茅盾文学奖、“五个一工程”奖、中华优秀出版物奖、文津图书奖、诺贝尔文学奖等获奖系列作品。</w:t>
      </w:r>
    </w:p>
    <w:p w14:paraId="12BE65EB">
      <w:pPr>
        <w:pStyle w:val="5"/>
        <w:keepNext w:val="0"/>
        <w:keepLines w:val="0"/>
        <w:widowControl/>
        <w:suppressLineNumbers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3、2000余名家作者：巴金、周梅森、阿来、刘醒龙、熊召政、刘慈欣等多位知名作家。</w:t>
      </w:r>
    </w:p>
    <w:p w14:paraId="2F587A43">
      <w:pPr>
        <w:pStyle w:val="5"/>
        <w:keepNext w:val="0"/>
        <w:keepLines w:val="0"/>
        <w:widowControl/>
        <w:suppressLineNumbers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4、600余家知名出版社合作：人民邮电出版社、人民出版社、电子工业出版社、中央文献出版社、复旦大学出版社等中央级出版单位。</w:t>
      </w:r>
    </w:p>
    <w:p w14:paraId="0C5C5BEB">
      <w:pPr>
        <w:pStyle w:val="5"/>
        <w:keepNext w:val="0"/>
        <w:keepLines w:val="0"/>
        <w:widowControl/>
        <w:suppressLineNumbers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5、中文智言 X DeepSeek AI服务：PC端、H5端、APP端面向学校/图书馆/读者用户提供生成式对话服务，方便读者使用AI工具辅助阅读和学习。</w:t>
      </w:r>
    </w:p>
    <w:p w14:paraId="28CFAAA2">
      <w:pPr>
        <w:pStyle w:val="5"/>
        <w:keepNext w:val="0"/>
        <w:keepLines w:val="0"/>
        <w:widowControl/>
        <w:suppressLineNumbers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6、AI辅助阅读+伴读书童服务：六大智能功能集成——精准选书、高效阅读、深度研读、阅读延伸、读后总结，覆盖阅读前、阅读中和阅读后的关键环节，旨在让阅读更加轻松高效，全面提升用户的阅读体验和学习效率。</w:t>
      </w:r>
    </w:p>
    <w:p w14:paraId="2334331D">
      <w:pPr>
        <w:pStyle w:val="5"/>
        <w:keepNext w:val="0"/>
        <w:keepLines w:val="0"/>
        <w:widowControl/>
        <w:suppressLineNumbers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7、多终端沉浸式阅读体验：纯文本、图文并茂等多样阅读场景体验，实时统计阅读记录，提供多样化的阅读学习功能（笔记、划线、书签、百科、分享书摘、TTS智能朗读、），满足读者个性化阅读体验，随时随地通过PC、手机、PAD、微信等终端无缝衔接的碎片化阅读。</w:t>
      </w:r>
    </w:p>
    <w:p w14:paraId="65DB8771">
      <w:pPr>
        <w:pStyle w:val="5"/>
        <w:keepNext w:val="0"/>
        <w:keepLines w:val="0"/>
        <w:widowControl/>
        <w:suppressLineNumbers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8、书友互动：撰写书评、书友交流阅读感悟，分享并推荐书友书籍，共享喜爱好书，提供一个健康良好的书友互动空间。</w:t>
      </w:r>
    </w:p>
    <w:p w14:paraId="1236DB86">
      <w:pPr>
        <w:pStyle w:val="5"/>
        <w:keepNext w:val="0"/>
        <w:keepLines w:val="0"/>
        <w:widowControl/>
        <w:suppressLineNumbers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9、书香日历（APP、微信端）：每日好书定时推荐</w:t>
      </w:r>
    </w:p>
    <w:p w14:paraId="1D52AA84">
      <w:pPr>
        <w:pStyle w:val="5"/>
        <w:keepNext w:val="0"/>
        <w:keepLines w:val="0"/>
        <w:widowControl/>
        <w:suppressLineNumbers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10、小微推荐官（APP）：小微数字人智能推荐官，每月好书视频推荐。</w:t>
      </w:r>
    </w:p>
    <w:p w14:paraId="6A2BF430">
      <w:pPr>
        <w:pStyle w:val="5"/>
        <w:keepNext w:val="0"/>
        <w:keepLines w:val="0"/>
        <w:widowControl/>
        <w:suppressLineNumbers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11、终身书房（APP）：通过“微书房APP”下载图书到本地后实现可离线终身阅读。高校的学生毕业离校后，可继续使用以前注册的账号访问使用，真正实现校友终身书房。</w:t>
      </w:r>
    </w:p>
    <w:p w14:paraId="122F670F">
      <w:pPr>
        <w:pStyle w:val="3"/>
        <w:numPr>
          <w:ilvl w:val="0"/>
          <w:numId w:val="0"/>
        </w:numPr>
        <w:spacing w:before="156" w:beforeLines="50" w:after="0" w:line="360" w:lineRule="auto"/>
        <w:ind w:leftChars="0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</w:t>
      </w:r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平台入口</w:t>
      </w:r>
    </w:p>
    <w:p w14:paraId="74495B6E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C0000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C00000"/>
          <w:spacing w:val="20"/>
          <w:kern w:val="0"/>
          <w:sz w:val="32"/>
          <w:szCs w:val="32"/>
          <w:shd w:val="clear" w:fill="FFFFFF"/>
          <w:lang w:val="en-US" w:eastAsia="zh-CN" w:bidi="ar"/>
        </w:rPr>
        <w:t>可通过以下三种方式进入平台：</w:t>
      </w:r>
    </w:p>
    <w:p w14:paraId="17CBBE92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pc网页端网址：</w:t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"https://caskm.chineseall.cn"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Style w:val="8"/>
          <w:rFonts w:hint="eastAsia" w:ascii="仿宋" w:hAnsi="仿宋" w:eastAsia="仿宋" w:cs="仿宋"/>
          <w:sz w:val="32"/>
          <w:szCs w:val="32"/>
        </w:rPr>
        <w:t>https://caskm.chineseall.cn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</w:p>
    <w:p w14:paraId="561360DD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2.微信H 5链接：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"https://caskm.w.chineseall.cn"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Style w:val="8"/>
          <w:rFonts w:hint="eastAsia" w:ascii="仿宋" w:hAnsi="仿宋" w:eastAsia="仿宋" w:cs="仿宋"/>
          <w:sz w:val="32"/>
          <w:szCs w:val="32"/>
          <w:lang w:val="en-US" w:eastAsia="zh-CN"/>
        </w:rPr>
        <w:t>https://caskm.w.chineseall.cn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3AE3A7FB">
      <w:pPr>
        <w:widowControl/>
        <w:spacing w:after="150" w:line="276" w:lineRule="auto"/>
        <w:jc w:val="left"/>
        <w:rPr>
          <w:rFonts w:hint="eastAsia" w:ascii="仿宋" w:hAnsi="仿宋" w:eastAsia="仿宋" w:cs="仿宋"/>
          <w:color w:val="FF0000"/>
          <w:kern w:val="0"/>
          <w:sz w:val="32"/>
          <w:szCs w:val="32"/>
          <w:u w:val="single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3.微书房App端：</w:t>
      </w:r>
      <w:r>
        <w:rPr>
          <w:rFonts w:hint="eastAsia" w:ascii="仿宋" w:hAnsi="仿宋" w:eastAsia="仿宋" w:cs="仿宋"/>
          <w:color w:val="FF0000"/>
          <w:kern w:val="0"/>
          <w:sz w:val="32"/>
          <w:szCs w:val="32"/>
          <w:u w:val="single"/>
        </w:rPr>
        <w:t>通过下方APP下载安装二维码或进入手机应用商城搜索下载安装微书房；</w:t>
      </w:r>
    </w:p>
    <w:p w14:paraId="07D67FF7">
      <w:pPr>
        <w:widowControl/>
        <w:spacing w:after="150" w:line="276" w:lineRule="auto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kern w:val="0"/>
          <w:sz w:val="32"/>
          <w:szCs w:val="32"/>
        </w:rPr>
        <w:drawing>
          <wp:inline distT="0" distB="0" distL="0" distR="0">
            <wp:extent cx="2275840" cy="2209165"/>
            <wp:effectExtent l="0" t="0" r="10160" b="635"/>
            <wp:docPr id="16925330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3307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16006">
      <w:pPr>
        <w:pStyle w:val="3"/>
        <w:spacing w:before="0" w:after="0" w:line="360" w:lineRule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1" w:name="_Toc9233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</w:t>
      </w:r>
      <w:r>
        <w:rPr>
          <w:rFonts w:hint="eastAsia" w:ascii="仿宋" w:hAnsi="仿宋" w:eastAsia="仿宋" w:cs="仿宋"/>
          <w:sz w:val="32"/>
          <w:szCs w:val="32"/>
        </w:rPr>
        <w:t>注册</w:t>
      </w:r>
      <w:bookmarkEnd w:id="1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与登录</w:t>
      </w:r>
    </w:p>
    <w:p w14:paraId="035A119D">
      <w:pPr>
        <w:spacing w:line="360" w:lineRule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1、注册</w:t>
      </w:r>
    </w:p>
    <w:p w14:paraId="07D70358">
      <w:pPr>
        <w:pStyle w:val="9"/>
        <w:numPr>
          <w:ilvl w:val="0"/>
          <w:numId w:val="0"/>
        </w:numPr>
        <w:spacing w:line="276" w:lineRule="auto"/>
        <w:ind w:leftChars="0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1.1</w:t>
      </w:r>
      <w:r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  <w:t>学院ip范围内均</w:t>
      </w:r>
      <w:r>
        <w:rPr>
          <w:rFonts w:hint="eastAsia" w:ascii="仿宋" w:hAnsi="仿宋" w:eastAsia="仿宋" w:cs="仿宋"/>
          <w:b/>
          <w:bCs/>
          <w:color w:val="C00000"/>
          <w:sz w:val="32"/>
          <w:szCs w:val="32"/>
        </w:rPr>
        <w:t>可注册</w:t>
      </w:r>
      <w:r>
        <w:rPr>
          <w:rFonts w:hint="eastAsia" w:ascii="仿宋" w:hAnsi="仿宋" w:eastAsia="仿宋" w:cs="仿宋"/>
          <w:b/>
          <w:bCs/>
          <w:color w:val="C0000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电脑</w:t>
      </w:r>
      <w:r>
        <w:rPr>
          <w:rFonts w:hint="eastAsia" w:ascii="仿宋" w:hAnsi="仿宋" w:eastAsia="仿宋" w:cs="仿宋"/>
          <w:sz w:val="32"/>
          <w:szCs w:val="32"/>
        </w:rPr>
        <w:t>浏览器网址栏中输入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"https://caskm.chineseall.cn
"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Style w:val="8"/>
          <w:rFonts w:hint="eastAsia" w:ascii="仿宋" w:hAnsi="仿宋" w:eastAsia="仿宋" w:cs="仿宋"/>
          <w:sz w:val="32"/>
          <w:szCs w:val="32"/>
        </w:rPr>
        <w:t>https://caskm.chineseall.cn
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进入平台。如下图所示，新用户在网页右上角或登录框里点击注册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216E42F8">
      <w:pPr>
        <w:pStyle w:val="10"/>
        <w:bidi w:val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805805" cy="3268980"/>
            <wp:effectExtent l="0" t="0" r="4445" b="762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9B8C6">
      <w:pPr>
        <w:widowControl/>
        <w:spacing w:line="360" w:lineRule="auto"/>
        <w:jc w:val="left"/>
        <w:rPr>
          <w:rFonts w:hint="eastAsia" w:ascii="仿宋" w:hAnsi="仿宋" w:eastAsia="仿宋" w:cs="仿宋"/>
          <w:b/>
          <w:bCs/>
          <w:color w:val="C00000"/>
          <w:sz w:val="32"/>
          <w:szCs w:val="32"/>
          <w:u w:val="single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1.2</w:t>
      </w:r>
      <w:r>
        <w:rPr>
          <w:rFonts w:hint="eastAsia" w:ascii="仿宋" w:hAnsi="仿宋" w:eastAsia="仿宋" w:cs="仿宋"/>
          <w:sz w:val="32"/>
          <w:szCs w:val="32"/>
        </w:rPr>
        <w:t>进入注册页面后，填写基本信息（用户名、密码和确认密码为必填项）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机构名称为“昆明文理学院”</w:t>
      </w:r>
      <w:r>
        <w:rPr>
          <w:rFonts w:hint="eastAsia" w:ascii="仿宋" w:hAnsi="仿宋" w:eastAsia="仿宋" w:cs="仿宋"/>
          <w:sz w:val="32"/>
          <w:szCs w:val="32"/>
        </w:rPr>
        <w:t>，勾选用户协议及隐私政策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点击“立即注册”，</w:t>
      </w:r>
      <w:r>
        <w:rPr>
          <w:rFonts w:hint="eastAsia" w:ascii="仿宋" w:hAnsi="仿宋" w:eastAsia="仿宋" w:cs="仿宋"/>
          <w:b/>
          <w:bCs/>
          <w:color w:val="C00000"/>
          <w:sz w:val="32"/>
          <w:szCs w:val="32"/>
          <w:u w:val="single"/>
        </w:rPr>
        <w:t>根据互联网实名制需进行手机号绑定</w:t>
      </w:r>
      <w:r>
        <w:rPr>
          <w:rFonts w:hint="eastAsia" w:ascii="仿宋" w:hAnsi="仿宋" w:eastAsia="仿宋" w:cs="仿宋"/>
          <w:b/>
          <w:bCs/>
          <w:color w:val="C00000"/>
          <w:sz w:val="32"/>
          <w:szCs w:val="32"/>
          <w:u w:val="single"/>
          <w:lang w:eastAsia="zh-CN"/>
        </w:rPr>
        <w:t>。</w:t>
      </w:r>
    </w:p>
    <w:p w14:paraId="537C5836">
      <w:pPr>
        <w:widowControl/>
        <w:spacing w:line="360" w:lineRule="auto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954395" cy="3597910"/>
            <wp:effectExtent l="0" t="0" r="8255" b="254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439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405A9">
      <w:pPr>
        <w:pStyle w:val="9"/>
        <w:numPr>
          <w:ilvl w:val="0"/>
          <w:numId w:val="0"/>
        </w:numPr>
        <w:spacing w:line="276" w:lineRule="auto"/>
        <w:ind w:leftChars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注册成功后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可任何地点在PC端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微信H5端、微书房A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pp端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使用账号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登录</w:t>
      </w:r>
    </w:p>
    <w:p w14:paraId="17CFB07C">
      <w:pPr>
        <w:widowControl/>
        <w:numPr>
          <w:ilvl w:val="0"/>
          <w:numId w:val="1"/>
        </w:numPr>
        <w:spacing w:line="360" w:lineRule="auto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登录</w:t>
      </w:r>
    </w:p>
    <w:p w14:paraId="44A9F05B">
      <w:pPr>
        <w:pStyle w:val="9"/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2.1</w:t>
      </w:r>
      <w:r>
        <w:rPr>
          <w:rFonts w:hint="eastAsia" w:ascii="仿宋" w:hAnsi="仿宋" w:eastAsia="仿宋" w:cs="仿宋"/>
          <w:sz w:val="32"/>
          <w:szCs w:val="32"/>
        </w:rPr>
        <w:t>读者可通过注册成功的用户名和密码/手机号验证码登录平台进行阅读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微信端、微书房APP均支持登录）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1A22B0F6">
      <w:pPr>
        <w:widowControl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464810" cy="2870835"/>
            <wp:effectExtent l="0" t="0" r="2540" b="571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F07BF">
      <w:pPr>
        <w:pStyle w:val="9"/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2.2扫码登录：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支持使用中文在线-微书房APP、微信扫码登录。</w:t>
      </w:r>
    </w:p>
    <w:p w14:paraId="7498231B">
      <w:pPr>
        <w:pStyle w:val="9"/>
        <w:numPr>
          <w:ilvl w:val="0"/>
          <w:numId w:val="0"/>
        </w:num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微书房APP扫码登录如图：</w:t>
      </w:r>
    </w:p>
    <w:p w14:paraId="20B29E3F">
      <w:pPr>
        <w:pStyle w:val="9"/>
        <w:numPr>
          <w:ilvl w:val="0"/>
          <w:numId w:val="0"/>
        </w:num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  <w:sectPr>
          <w:footerReference r:id="rId3" w:type="first"/>
          <w:pgSz w:w="11906" w:h="16838"/>
          <w:pgMar w:top="1440" w:right="1841" w:bottom="1440" w:left="1276" w:header="851" w:footer="992" w:gutter="0"/>
          <w:pgNumType w:start="1"/>
          <w:cols w:space="425" w:num="1"/>
          <w:titlePg/>
          <w:docGrid w:type="lines" w:linePitch="312" w:charSpace="0"/>
        </w:sect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210435" cy="3897630"/>
            <wp:effectExtent l="0" t="0" r="18415" b="762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2905B">
      <w:pPr>
        <w:widowControl/>
        <w:numPr>
          <w:ilvl w:val="0"/>
          <w:numId w:val="1"/>
        </w:numPr>
        <w:spacing w:line="360" w:lineRule="auto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机构认证</w:t>
      </w:r>
    </w:p>
    <w:p w14:paraId="13E23403">
      <w:pPr>
        <w:widowControl/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若注册登录后，页面机构名称未显示“昆明文理”学院或显示为其他机构名称的，读者可通过以下两种方式进行机构认证；</w:t>
      </w:r>
    </w:p>
    <w:p w14:paraId="3EF8EE7D">
      <w:pPr>
        <w:widowControl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3.1微书房APP——机构IP认证</w:t>
      </w:r>
    </w:p>
    <w:p w14:paraId="6EDBFD47">
      <w:pPr>
        <w:widowControl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校园IP范围内的用户，打开微书房APP，点击右下角“我的”——点击“机构认证”——搜索框输入“昆明文理学院”——选择认证一“机构IP认证”——完成认证</w:t>
      </w:r>
    </w:p>
    <w:p w14:paraId="6B2D447A">
      <w:pPr>
        <w:widowControl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802630" cy="4503420"/>
            <wp:effectExtent l="0" t="0" r="7620" b="1143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6FDFB">
      <w:pPr>
        <w:widowControl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3.2微书房APP——</w:t>
      </w:r>
      <w:r>
        <w:rPr>
          <w:rFonts w:hint="eastAsia" w:ascii="仿宋" w:hAnsi="仿宋" w:eastAsia="仿宋" w:cs="仿宋"/>
          <w:b/>
          <w:bCs/>
          <w:sz w:val="44"/>
          <w:szCs w:val="44"/>
          <w:highlight w:val="yellow"/>
          <w:lang w:val="en-US" w:eastAsia="zh-CN"/>
        </w:rPr>
        <w:t>机构认证码（qsVR94）</w:t>
      </w:r>
    </w:p>
    <w:p w14:paraId="6DAEA1C8">
      <w:pPr>
        <w:widowControl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不限Ip范围，注册登录微书房APP，点击右下角“我的”——点击”机构认证”——搜索框输入“昆明文理学院”——选择认证二“机构码认证”——输入机构认证码“qsVR94”——完成认证</w:t>
      </w:r>
    </w:p>
    <w:p w14:paraId="7F451CB7">
      <w:pPr>
        <w:keepNext w:val="0"/>
        <w:keepLines w:val="0"/>
        <w:widowControl/>
        <w:suppressLineNumbers w:val="0"/>
        <w:jc w:val="left"/>
      </w:pPr>
    </w:p>
    <w:p w14:paraId="34200007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46370" cy="4100195"/>
            <wp:effectExtent l="0" t="0" r="11430" b="14605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4C4D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969100"/>
      <w:docPartObj>
        <w:docPartGallery w:val="autotext"/>
      </w:docPartObj>
    </w:sdtPr>
    <w:sdtContent>
      <w:p w14:paraId="53254FBC"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5970B5EA"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FD0BEB"/>
    <w:multiLevelType w:val="singleLevel"/>
    <w:tmpl w:val="F7FD0BEB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B00ED8"/>
    <w:rsid w:val="78B00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paragraph" w:customStyle="1" w:styleId="10">
    <w:name w:val="图片"/>
    <w:basedOn w:val="1"/>
    <w:qFormat/>
    <w:uiPriority w:val="0"/>
    <w:pPr>
      <w:spacing w:line="312" w:lineRule="auto"/>
      <w:ind w:left="0"/>
      <w:jc w:val="center"/>
    </w:pPr>
    <w:rPr>
      <w:rFonts w:ascii="Times New Roman" w:hAnsi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2025-09-04T01:21:00Z</dcterms:created>
  <dc:creator>越今朝</dc:creator>
  <cp:lastModifiedBy>越今朝</cp:lastModifiedBy>
  <dcterms:modified xsi:type="dcterms:W3CDTF">2025-09-04T01:21:47Z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5EB3B10C9E0B4186981DFEBD256BD9C2_11</vt:lpwstr>
  </property>
  <property fmtid="{D5CDD505-2E9C-101B-9397-08002B2CF9AE}" pid="4" name="KSOTemplateDocerSaveRecord">
    <vt:lpwstr>eyJoZGlkIjoiMjIzNTg3MzVmZmY0MDE4OWYxNGRkZGM2Mjg3NzkzYTAiLCJ1c2VySWQiOiI1OTc5MTg3ODAifQ==</vt:lpwstr>
  </property>
</Properties>
</file>